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96521</wp:posOffset>
            </wp:positionH>
            <wp:positionV relativeFrom="paragraph">
              <wp:posOffset>107950</wp:posOffset>
            </wp:positionV>
            <wp:extent cx="563880" cy="88455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2 </w:t>
      </w:r>
    </w:p>
    <w:p w:rsidR="00000000" w:rsidDel="00000000" w:rsidP="00000000" w:rsidRDefault="00000000" w:rsidRPr="00000000" w14:paraId="0000000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Інструкція з підготовки пропозицій до конкурсного відбору (тендеру)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Громадська організація "Український незалежний центр політичних досліджень" створена та діє у відповідності до Конституції України, Закону України "Про громадські об’єднання", інших правових актів. Головною метою Організації є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захист прав і свобод громадян,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реалізація суспільних інтересів (економічних, соціальних, культурних, екологічних, освітніх та інших інтересів),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Закупівля відбувається в рамках діяльності Національної платформи стійкості та згуртованості. Діяльність Національної платформи спрямована на посилення суспільної стійкості України. Шлях до цього – забезпечення діалогових практик у суспільстві, надання пропозицій владі у виробленні відповідних політик, зокрема щодо стійкості та соціальної згуртованості, а також забезпечення суспільної обізнаності у цих процесах. Ініціатива реалізується за фінансової підтримки Європейського Союзу в рамках проєкту "Підтримка стійкості України та європейської безпеки шляхом діалогу".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Опис послуги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Проведення наступних видів досліджень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Види послуг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1) Національні опитування громадської думки, включно з періодичними омнібусами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Очікувані продукти –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доопрацьований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гайд, наданий Замовником; файл із розподілами; звіт українською мовою. Охоплення – 1000 респондентів. Розподіл за статтю, за віком, за рівнем доход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у, за освітою,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 місцем фактичного проживання і за місцем проживання до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війни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Строки проведення будуть визначені замовником.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2) Фокус-групові опитування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Очікувані продукти –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доопрацьований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гайд, наданий Замовником; стенограми або аудіофайли; звіт за результатами проведених фокус-груп українською мовою.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Потенційна вибірка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Категорія 1: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суспільні групи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(ветерани, учасники бойових дій, волонтери, місцевий бізнес, громадські активісти, священнослужителі (різних конфесій).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Категорія 2: місцева молодь 18-24 років.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Категорія 3: журналісти та місцеві лідери громадської думки.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Категорія 4: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органи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місцевої влади та посадові особи, які приймають рішення.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Категорія 5: мешканці громад, включно з внутрішньо переміщеними особами, представники органів місцевого самоврядування, представники дослідницьких кіл (НАН України, заклади вищої освіти, неурядові аналітичні центри).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Кількість вибірки на 1 фокус-групу: 8-10 респондентів; 11-13 респондентів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3) Глибинні інтервʼю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Очікувані продукти –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доопрацьований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гайд, наданий Замовником; структуровані стенограми або аудіофайли; звіти за результатами проведених глибинних інтерв’ю українською мовою. Категорії ті самі, що і для фокус-групових опитувань, однак можуть варіюватися.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Вибірка, коло питань, строки надання конкретної послуги є предметом окремого технічного завдання на кожен  вид послуги. 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" w:before="0" w:line="240" w:lineRule="auto"/>
        <w:ind w:left="0" w:right="24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Очікуваний час надання послуг – 12 місяців з дня укладання договору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" w:before="0" w:line="240" w:lineRule="auto"/>
        <w:ind w:left="0" w:right="24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Вимоги до постачальника товарів, робіт, послуг: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Суб’єкт підприємницької діяльності (бажано - неплатник ПДВ).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Наявність відповідного і підтвердженого досвіду з надання соціологічних послуг.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Укладення договору і подальша співпраця відбувається тільки з переможцем конкурсу.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Ключові критерії оцінки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Пропозиції учасників конкурсного відбору будуть оцінюватися за стобальною шкалою за такими критеріями: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Вартість послуг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35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балів за критерій.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Мінімальний термін виконання замовлення -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10 балів за критерій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Дотримання дослідницькою компанією стандартів соціологічних досліджень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 балів за критерій.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Кваліфікація ключов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ос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і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б, відповідальн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за виконання замовлення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15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балів за критерій.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Можливість здійснювати всі три види досліджень, зазначених в оголошенні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 балів за критерій.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Можливість проводити опитування в усіх областях України, за винятком територій, окупованих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Росією 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 балів за критерій.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Відбір постачальника послуг буде здійснюватися шляхом порівняння пропозицій від учасників конкурсного відбору на основі ключових критеріїв.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Переможцем конкурсного відбору стане учасник, який зможе надати усі зазначені документи, пропозиція якого набере найбільшу кількість балів.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Зміст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Учасники повинні включати таку інформацію до конкурсних  пропозицій: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Копії реєстраційних документів (виписка з ЄДР про державну реєстрацію, свідоцтво/довідка платника податків);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Заповнена та підписана Анкета учасника – див. Додаток №1,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Заповнена та підписана Таблиця 1 і Таблиця 2 цієї Інструкції з інформацією, що стосується критеріїв оцінювання;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CV (резюме) ключов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ос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іб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відповідальн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за виконання замовлення.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Перелік не менше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2-3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основних замовлень за останні 10 років, релевантних до описаної послуги.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Кошторис на основні види послуг.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Додаткова інформація: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вказівка на членство в міжнародних професійних асоціаціях;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вказівка на дотримання професійного кодексу;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способи контролю якості;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опис специфіки методології, що застосовується для проведення опитувань громадської думки на національному рівні.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9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Вимоги до підготовки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Пропозиції учасників конкурсного відбору мають бути надіслані українською мовою.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Розцінки за послуги мають передбачати всі потреби виконавця, пов’язані із виконанням Технічного Завдання.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Скан-копії документів, заповнені Таблиці 1 і 2, а також Анкета учасника – Додаток №1 – мають бути засвідчені печаткою заявника (за наявності) та/або підписами офіційних осіб.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Умови розрахунків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Умови розрахунків за кожним дослідницьким завданням визначаються в ході перемовин.</w:t>
        <w:br w:type="textWrapping"/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Таблиця 1</w:t>
      </w:r>
    </w:p>
    <w:p w:rsidR="00000000" w:rsidDel="00000000" w:rsidP="00000000" w:rsidRDefault="00000000" w:rsidRPr="00000000" w14:paraId="0000005F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Інструкції з підготовки пропозицій до конкурсного відбору (тендеру)</w:t>
      </w:r>
    </w:p>
    <w:p w:rsidR="00000000" w:rsidDel="00000000" w:rsidP="00000000" w:rsidRDefault="00000000" w:rsidRPr="00000000" w14:paraId="00000060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Будь ласка, заповніть наведену нижче таблицю 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88.0" w:type="dxa"/>
        <w:jc w:val="left"/>
        <w:tblInd w:w="-284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633"/>
        <w:gridCol w:w="5744"/>
        <w:gridCol w:w="4111"/>
        <w:tblGridChange w:id="0">
          <w:tblGrid>
            <w:gridCol w:w="633"/>
            <w:gridCol w:w="5744"/>
            <w:gridCol w:w="4111"/>
          </w:tblGrid>
        </w:tblGridChange>
      </w:tblGrid>
      <w:tr>
        <w:trPr>
          <w:cantSplit w:val="0"/>
          <w:trHeight w:val="636" w:hRule="atLeast"/>
          <w:tblHeader w:val="0"/>
        </w:trPr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</w:t>
            </w:r>
          </w:p>
        </w:tc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Критерії </w:t>
            </w:r>
          </w:p>
        </w:tc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учасника щодо критерію</w:t>
            </w:r>
          </w:p>
        </w:tc>
      </w:tr>
      <w:tr>
        <w:trPr>
          <w:cantSplit w:val="0"/>
          <w:trHeight w:val="528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0" w:hanging="284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Вартість послуг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Щодо вартості послуг див. далі Таблицю 2. Вартість одиниці послуги.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8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0" w:hanging="284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Мінімальний термін виконання замовлення</w:t>
            </w:r>
          </w:p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rtl w:val="0"/>
              </w:rPr>
              <w:t xml:space="preserve">Вказуйте у Таблиці 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99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Дотримання дослідницькою компанією стандартів соціологічних досліджень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а) вказівка на членство в міжнародних професійних асоціаціях;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б) вказівка на дотримання професійного кодексу;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в) способи контролю якості;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г) опис специфіки методології, що застосовується для проведення опитувань громадської думки на національному рівні;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ґ) вказівка на не менше як 5 релевантних досліджень за останні 10 років.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0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Кваліфікація ключов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ос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б, відповідальн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за  виконання замовлення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(CV (резюме) з релевантною інформацією)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0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Можливість здійснювати всі три види досліджень, зазначених в оголошенні (національні опитування громадської думки, у тому числі омнібус; фокус-групи; глибинні інтерв’ю)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(так/ ні)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0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Можливість проводити опитування в усіх областях України, за винятком територій, окупованих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Росією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(так/ ні)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Дата: 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1"/>
          <w:iCs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[підпис]</w:t>
        <w:tab/>
        <w:t xml:space="preserve">              [що виступає у якості]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864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Таблиця 2. Вартість одиниці послуги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Будь ласка, заповніть наведену нижче таблицю 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338.0" w:type="dxa"/>
        <w:jc w:val="left"/>
        <w:tblInd w:w="1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510"/>
        <w:gridCol w:w="4158"/>
        <w:gridCol w:w="1417"/>
        <w:gridCol w:w="1418"/>
        <w:gridCol w:w="1417"/>
        <w:gridCol w:w="1418"/>
        <w:tblGridChange w:id="0">
          <w:tblGrid>
            <w:gridCol w:w="510"/>
            <w:gridCol w:w="4158"/>
            <w:gridCol w:w="1417"/>
            <w:gridCol w:w="1418"/>
            <w:gridCol w:w="1417"/>
            <w:gridCol w:w="1418"/>
          </w:tblGrid>
        </w:tblGridChange>
      </w:tblGrid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послуг, передбачених технічними вимогами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предмету закупівлі</w:t>
            </w:r>
          </w:p>
        </w:tc>
        <w:tc>
          <w:tcPr>
            <w:gridSpan w:val="2"/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Вартість одиниці послуг,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грн.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Мінімальний термін виконання замовлення,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тижні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3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Вартість уточнення 1 гайду, наданого замовником на основі Технічного завдання</w:t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0" w:hRule="atLeast"/>
          <w:tblHeader w:val="0"/>
        </w:trPr>
        <w:tc>
          <w:tcPr>
            <w:vMerge w:val="restart"/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Наявність періодичного проведення омнібусу та вартість типів питань (закриті питання, відкриті питання, шкала оцінок, ранжування позицій)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, а також вартість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звіту у форматі презентації pptx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Face-to-face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онлайн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Face-to-face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онлайн</w:t>
            </w:r>
          </w:p>
        </w:tc>
      </w:tr>
      <w:tr>
        <w:trPr>
          <w:cantSplit w:val="1"/>
          <w:trHeight w:val="640" w:hRule="atLeast"/>
          <w:tblHeader w:val="0"/>
        </w:trPr>
        <w:tc>
          <w:tcPr>
            <w:vMerge w:val="continue"/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0" w:hRule="atLeast"/>
          <w:tblHeader w:val="0"/>
        </w:trPr>
        <w:tc>
          <w:tcPr>
            <w:vMerge w:val="restart"/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Merge w:val="restart"/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Вартість опитування громадської думки на національному рівні 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вибіркою 1000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осіб на 20 запитань та звіт у форматі презентації pptx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Face-to-face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онлайн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Face-to-face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онлайн</w:t>
            </w:r>
          </w:p>
        </w:tc>
      </w:tr>
      <w:tr>
        <w:trPr>
          <w:cantSplit w:val="1"/>
          <w:trHeight w:val="159" w:hRule="atLeast"/>
          <w:tblHeader w:val="0"/>
        </w:trPr>
        <w:tc>
          <w:tcPr>
            <w:vMerge w:val="continue"/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8" w:hRule="atLeast"/>
          <w:tblHeader w:val="0"/>
        </w:trPr>
        <w:tc>
          <w:tcPr>
            <w:vMerge w:val="restart"/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Merge w:val="restart"/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Вартість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послуг проведення 1 фокус-групи з 8-10 респондентами протягом 1,5-2 годин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(включаючи вартість технічного обладнання та рекрутинг учасників)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Face-to-face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онлайн</w:t>
            </w:r>
          </w:p>
        </w:tc>
        <w:tc>
          <w:tcPr>
            <w:tcBorders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Face-to-face</w:t>
            </w:r>
          </w:p>
        </w:tc>
        <w:tc>
          <w:tcPr>
            <w:tcBorders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онлайн</w:t>
            </w:r>
          </w:p>
        </w:tc>
      </w:tr>
      <w:tr>
        <w:trPr>
          <w:cantSplit w:val="1"/>
          <w:trHeight w:val="277" w:hRule="atLeast"/>
          <w:tblHeader w:val="0"/>
        </w:trPr>
        <w:tc>
          <w:tcPr>
            <w:vMerge w:val="continue"/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8" w:hRule="atLeast"/>
          <w:tblHeader w:val="0"/>
        </w:trPr>
        <w:tc>
          <w:tcPr>
            <w:vMerge w:val="restart"/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vMerge w:val="restart"/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Вартість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послуг проведення 1 фокус-групи з 11-13 респондентами протягом 1,5-2 годин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(вартість технічного обладнання та рекрутинг учасників)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Face-to-face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онлайн</w:t>
            </w:r>
          </w:p>
        </w:tc>
        <w:tc>
          <w:tcPr>
            <w:tcBorders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Face-to-face</w:t>
            </w:r>
          </w:p>
        </w:tc>
        <w:tc>
          <w:tcPr>
            <w:tcBorders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онлайн</w:t>
            </w:r>
          </w:p>
        </w:tc>
      </w:tr>
      <w:tr>
        <w:trPr>
          <w:cantSplit w:val="1"/>
          <w:trHeight w:val="277" w:hRule="atLeast"/>
          <w:tblHeader w:val="0"/>
        </w:trPr>
        <w:tc>
          <w:tcPr>
            <w:vMerge w:val="continue"/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65" w:hRule="atLeast"/>
          <w:tblHeader w:val="0"/>
        </w:trPr>
        <w:tc>
          <w:tcPr>
            <w:vMerge w:val="restart"/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Вартість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1 глибинного інтерв’ю протягом 1 години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Face-to-face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онлайн</w:t>
            </w:r>
          </w:p>
        </w:tc>
        <w:tc>
          <w:tcPr>
            <w:tcBorders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Face-to-face</w:t>
            </w:r>
          </w:p>
        </w:tc>
        <w:tc>
          <w:tcPr>
            <w:tcBorders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онлайн</w:t>
            </w:r>
          </w:p>
        </w:tc>
      </w:tr>
      <w:tr>
        <w:trPr>
          <w:cantSplit w:val="1"/>
          <w:trHeight w:val="165" w:hRule="atLeast"/>
          <w:tblHeader w:val="0"/>
        </w:trPr>
        <w:tc>
          <w:tcPr>
            <w:vMerge w:val="continue"/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65" w:hRule="atLeast"/>
          <w:tblHeader w:val="0"/>
        </w:trPr>
        <w:tc>
          <w:tcPr>
            <w:vMerge w:val="restart"/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Вартість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1 глибинного інтерв’ю протягом 1,5-2 годин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Face-to-face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онлайн</w:t>
            </w:r>
          </w:p>
        </w:tc>
        <w:tc>
          <w:tcPr>
            <w:tcBorders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Face-to-face</w:t>
            </w:r>
          </w:p>
        </w:tc>
        <w:tc>
          <w:tcPr>
            <w:tcBorders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онлайн</w:t>
            </w:r>
          </w:p>
        </w:tc>
      </w:tr>
      <w:tr>
        <w:trPr>
          <w:cantSplit w:val="1"/>
          <w:trHeight w:val="164" w:hRule="atLeast"/>
          <w:tblHeader w:val="0"/>
        </w:trPr>
        <w:tc>
          <w:tcPr>
            <w:vMerge w:val="continue"/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0" w:hRule="atLeast"/>
          <w:tblHeader w:val="0"/>
        </w:trPr>
        <w:tc>
          <w:tcPr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Підготовка звіту за результатами проведення фокус-груп/інтерв’ю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Можливість надання знижки – вкажіть умови отримання знижки у довільній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Дата: 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3600"/>
          <w:tab w:val="right" w:leader="none" w:pos="4320"/>
          <w:tab w:val="right" w:leader="none" w:pos="864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32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1"/>
          <w:iCs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[підпис]</w:t>
        <w:tab/>
        <w:t xml:space="preserve">    [що виступає у якості]</w:t>
      </w:r>
      <w:r w:rsidDel="00000000" w:rsidR="00000000" w:rsidRPr="00000000">
        <w:rPr>
          <w:rtl w:val="0"/>
        </w:rPr>
      </w:r>
    </w:p>
    <w:sectPr>
      <w:footerReference r:id="rId8" w:type="default"/>
      <w:footerReference r:id="rId9" w:type="even"/>
      <w:pgSz w:h="16838" w:w="11906" w:orient="portrait"/>
      <w:pgMar w:bottom="567" w:top="567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200" w:before="0" w:line="276" w:lineRule="auto"/>
      <w:ind w:left="0" w:right="0" w:firstLine="0"/>
      <w:jc w:val="righ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200" w:before="0" w:line="276" w:lineRule="auto"/>
      <w:ind w:left="0" w:right="36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200" w:before="0" w:line="276" w:lineRule="auto"/>
      <w:ind w:left="0" w:right="0" w:firstLine="0"/>
      <w:jc w:val="righ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200" w:before="0" w:line="276" w:lineRule="auto"/>
      <w:ind w:left="0" w:right="36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bCs w:val="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lvl w:ilvl="0">
      <w:start w:val="14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uk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Звичайний">
    <w:name w:val="Звичайний"/>
    <w:next w:val="Звичайни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Заголовок1">
    <w:name w:val="Заголовок 1"/>
    <w:basedOn w:val="Звичайний"/>
    <w:next w:val="Звичайний"/>
    <w:autoRedefine w:val="0"/>
    <w:hidden w:val="0"/>
    <w:qFormat w:val="0"/>
    <w:pPr>
      <w:keepNext w:val="1"/>
      <w:widowControl w:val="0"/>
      <w:suppressAutoHyphens w:val="1"/>
      <w:spacing w:after="0" w:line="240" w:lineRule="atLeast"/>
      <w:ind w:leftChars="-1" w:rightChars="0" w:firstLineChars="-1"/>
      <w:jc w:val="right"/>
      <w:textDirection w:val="btLr"/>
      <w:textAlignment w:val="top"/>
      <w:outlineLvl w:val="0"/>
    </w:pPr>
    <w:rPr>
      <w:b w:val="1"/>
      <w:bCs w:val="1"/>
      <w:i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Шрифтабзацузазамовчуванням">
    <w:name w:val="Шрифт абзацу за замовчуванням"/>
    <w:next w:val="Шрифтабзацузазамовчуванням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Звичайнатаблиця">
    <w:name w:val="Звичайна таблиця"/>
    <w:next w:val="Звичайнатаблиця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маєсписку">
    <w:name w:val="Немає списку"/>
    <w:next w:val="Немаєсписку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Текстувиносці">
    <w:name w:val="Текст у виносці"/>
    <w:basedOn w:val="Звичайний"/>
    <w:next w:val="Текстувиносці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ТекстувиносціЗнак">
    <w:name w:val="Текст у виносці Знак"/>
    <w:next w:val="Текстувиносці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Гіперпосилання">
    <w:name w:val="Гіперпосилання"/>
    <w:next w:val="Гіперпосилання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apple-style-span">
    <w:name w:val="apple-style-span"/>
    <w:next w:val="apple-style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Переглянутегіперпосилання">
    <w:name w:val="Переглянуте гіперпосилання"/>
    <w:next w:val="Переглянутегіперпосилання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ListParagraph1">
    <w:name w:val="List Paragraph1"/>
    <w:basedOn w:val="Звичайний"/>
    <w:next w:val="ListParagraph1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Назва">
    <w:name w:val="Назва"/>
    <w:basedOn w:val="Звичайний"/>
    <w:next w:val="Назва"/>
    <w:autoRedefine w:val="0"/>
    <w:hidden w:val="0"/>
    <w:qFormat w:val="0"/>
    <w:pPr>
      <w:suppressAutoHyphens w:val="1"/>
      <w:overflowPunct w:val="0"/>
      <w:autoSpaceDE w:val="0"/>
      <w:autoSpaceDN w:val="0"/>
      <w:adjustRightInd w:val="0"/>
      <w:spacing w:after="0" w:line="240" w:lineRule="auto"/>
      <w:ind w:leftChars="-1" w:rightChars="0" w:firstLineChars="-1"/>
      <w:jc w:val="center"/>
      <w:textDirection w:val="btLr"/>
      <w:textAlignment w:val="baseline"/>
      <w:outlineLvl w:val="0"/>
    </w:pPr>
    <w:rPr>
      <w:b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ru-RU" w:val="uk-UA"/>
    </w:rPr>
  </w:style>
  <w:style w:type="character" w:styleId="НазваЗнак">
    <w:name w:val="Назва Знак"/>
    <w:next w:val="НазваЗнак"/>
    <w:autoRedefine w:val="0"/>
    <w:hidden w:val="0"/>
    <w:qFormat w:val="0"/>
    <w:rPr>
      <w:b w:val="1"/>
      <w:w w:val="100"/>
      <w:position w:val="-1"/>
      <w:sz w:val="28"/>
      <w:effect w:val="none"/>
      <w:vertAlign w:val="baseline"/>
      <w:cs w:val="0"/>
      <w:em w:val="none"/>
      <w:lang w:bidi="ar-SA" w:eastAsia="ru-RU" w:val="uk-UA"/>
    </w:r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b w:val="1"/>
      <w:bCs w:val="1"/>
      <w:i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und" w:val="uk-UA"/>
    </w:rPr>
  </w:style>
  <w:style w:type="paragraph" w:styleId="Основнийтекст2">
    <w:name w:val="Основний текст 2"/>
    <w:basedOn w:val="Звичайний"/>
    <w:next w:val="Основнийтекст2"/>
    <w:autoRedefine w:val="0"/>
    <w:hidden w:val="0"/>
    <w:qFormat w:val="0"/>
    <w:pPr>
      <w:widowControl w:val="0"/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i w:val="1"/>
      <w:iCs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ru-RU"/>
    </w:rPr>
  </w:style>
  <w:style w:type="paragraph" w:styleId="Абзацсписку2">
    <w:name w:val="Абзац списку2"/>
    <w:basedOn w:val="Звичайний"/>
    <w:next w:val="Абзацсписку2"/>
    <w:autoRedefine w:val="0"/>
    <w:hidden w:val="0"/>
    <w:qFormat w:val="0"/>
    <w:pPr>
      <w:widowControl w:val="0"/>
      <w:suppressAutoHyphens w:val="1"/>
      <w:spacing w:after="0" w:line="240" w:lineRule="auto"/>
      <w:ind w:left="708" w:leftChars="-1" w:rightChars="0" w:firstLineChars="-1"/>
      <w:textDirection w:val="btLr"/>
      <w:textAlignment w:val="top"/>
      <w:outlineLvl w:val="0"/>
    </w:pPr>
    <w:rPr>
      <w:rFonts w:ascii="Garamond" w:eastAsia="Times New Roman" w:hAnsi="Garamond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en-US"/>
    </w:rPr>
  </w:style>
  <w:style w:type="character" w:styleId="apple-converted-space">
    <w:name w:val="apple-converted-space"/>
    <w:basedOn w:val="Шрифтабзацузазамовчуванням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Звичайний(веб)">
    <w:name w:val="Звичайний (веб)"/>
    <w:basedOn w:val="Звичайний"/>
    <w:next w:val="Звичайний(веб)"/>
    <w:autoRedefine w:val="0"/>
    <w:hidden w:val="0"/>
    <w:qFormat w:val="0"/>
    <w:pPr>
      <w:suppressAutoHyphens w:val="1"/>
      <w:spacing w:after="0" w:line="240" w:lineRule="auto"/>
      <w:ind w:left="150" w:right="300" w:leftChars="-1" w:rightChars="0" w:firstLineChars="-1"/>
      <w:textDirection w:val="btLr"/>
      <w:textAlignment w:val="top"/>
      <w:outlineLvl w:val="0"/>
    </w:pPr>
    <w:rPr>
      <w:rFonts w:ascii="Arial" w:cs="Arial" w:eastAsia="Times New Roman" w:hAnsi="Arial"/>
      <w:color w:val="333366"/>
      <w:w w:val="100"/>
      <w:position w:val="-1"/>
      <w:sz w:val="18"/>
      <w:szCs w:val="18"/>
      <w:effect w:val="none"/>
      <w:vertAlign w:val="baseline"/>
      <w:cs w:val="0"/>
      <w:em w:val="none"/>
      <w:lang w:bidi="ar-SA" w:eastAsia="ru-RU" w:val="ru-RU"/>
    </w:rPr>
  </w:style>
  <w:style w:type="character" w:styleId="hps">
    <w:name w:val="hps"/>
    <w:next w:val="hp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Абзацсписку1">
    <w:name w:val="Абзац списку1"/>
    <w:basedOn w:val="Звичайний"/>
    <w:next w:val="Абзацсписку1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Paragraph">
    <w:name w:val="Paragraph"/>
    <w:basedOn w:val="ListParagraph1"/>
    <w:next w:val="Paragraph"/>
    <w:autoRedefine w:val="0"/>
    <w:hidden w:val="0"/>
    <w:qFormat w:val="0"/>
    <w:pPr>
      <w:numPr>
        <w:ilvl w:val="3"/>
        <w:numId w:val="3"/>
      </w:numPr>
      <w:tabs>
        <w:tab w:val="left" w:leader="none" w:pos="0"/>
      </w:tabs>
      <w:suppressAutoHyphens w:val="1"/>
      <w:spacing w:after="0" w:before="240" w:line="240" w:lineRule="auto"/>
      <w:ind w:left="0" w:leftChars="-1" w:rightChars="0" w:firstLineChars="-1"/>
      <w:jc w:val="both"/>
      <w:textDirection w:val="btLr"/>
      <w:textAlignment w:val="top"/>
      <w:outlineLvl w:val="0"/>
    </w:pPr>
    <w:rPr>
      <w:rFonts w:ascii="Arial" w:eastAsia="SimSun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en-US" w:val="ru-RU"/>
    </w:rPr>
  </w:style>
  <w:style w:type="paragraph" w:styleId="TableHeader">
    <w:name w:val="TableHeader"/>
    <w:basedOn w:val="Звичайний"/>
    <w:next w:val="TableHeader"/>
    <w:autoRedefine w:val="0"/>
    <w:hidden w:val="0"/>
    <w:qFormat w:val="0"/>
    <w:pPr>
      <w:keepNext w:val="1"/>
      <w:keepLines w:val="1"/>
      <w:numPr>
        <w:ilvl w:val="2"/>
        <w:numId w:val="3"/>
      </w:numPr>
      <w:suppressAutoHyphens w:val="0"/>
      <w:spacing w:after="120" w:line="240" w:lineRule="auto"/>
      <w:ind w:leftChars="-1" w:rightChars="0" w:firstLineChars="-1"/>
      <w:textDirection w:val="btLr"/>
      <w:textAlignment w:val="top"/>
      <w:outlineLvl w:val="0"/>
    </w:pPr>
    <w:rPr>
      <w:rFonts w:ascii="Arial" w:eastAsia="SimSun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ru-RU" w:val="ru-RU"/>
    </w:rPr>
  </w:style>
  <w:style w:type="character" w:styleId="ParagraphЗнак">
    <w:name w:val="Paragraph Знак"/>
    <w:next w:val="ParagraphЗнак"/>
    <w:autoRedefine w:val="0"/>
    <w:hidden w:val="0"/>
    <w:qFormat w:val="0"/>
    <w:rPr>
      <w:rFonts w:ascii="Arial" w:eastAsia="SimSun" w:hAnsi="Arial"/>
      <w:w w:val="100"/>
      <w:position w:val="-1"/>
      <w:sz w:val="22"/>
      <w:effect w:val="none"/>
      <w:vertAlign w:val="baseline"/>
      <w:cs w:val="0"/>
      <w:em w:val="none"/>
      <w:lang w:eastAsia="en-US" w:val="ru-RU"/>
    </w:rPr>
  </w:style>
  <w:style w:type="paragraph" w:styleId="NormalBody">
    <w:name w:val="Normal Body"/>
    <w:basedOn w:val="Звичайний"/>
    <w:next w:val="NormalBody"/>
    <w:autoRedefine w:val="0"/>
    <w:hidden w:val="0"/>
    <w:qFormat w:val="0"/>
    <w:pPr>
      <w:suppressAutoHyphens w:val="1"/>
      <w:spacing w:after="120" w:line="240" w:lineRule="auto"/>
      <w:ind w:leftChars="-1" w:rightChars="0" w:firstLine="357" w:firstLineChars="-1"/>
      <w:jc w:val="both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ListBulletStd">
    <w:name w:val="List Bullet Std"/>
    <w:basedOn w:val="NormalBody"/>
    <w:next w:val="ListBulletStd"/>
    <w:autoRedefine w:val="0"/>
    <w:hidden w:val="0"/>
    <w:qFormat w:val="0"/>
    <w:pPr>
      <w:numPr>
        <w:ilvl w:val="0"/>
        <w:numId w:val="4"/>
      </w:numPr>
      <w:suppressAutoHyphens w:val="1"/>
      <w:spacing w:after="120" w:line="240" w:lineRule="auto"/>
      <w:ind w:leftChars="-1" w:rightChars="0" w:firstLine="357" w:firstLineChars="-1"/>
      <w:jc w:val="both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uk-UA"/>
    </w:rPr>
  </w:style>
  <w:style w:type="paragraph" w:styleId="Нижнійколонтитул">
    <w:name w:val="Нижній колонтитул"/>
    <w:basedOn w:val="Звичайний"/>
    <w:next w:val="Нижнійколонтитул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НижнійколонтитулЗнак">
    <w:name w:val="Нижній колонтитул Знак"/>
    <w:next w:val="НижнійколонтитулЗнак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ru-RU"/>
    </w:rPr>
  </w:style>
  <w:style w:type="character" w:styleId="Номерсторінки">
    <w:name w:val="Номер сторінки"/>
    <w:basedOn w:val="Шрифтабзацузазамовчуванням"/>
    <w:next w:val="Номерсторінки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character" w:styleId="Знакпримітки">
    <w:name w:val="Знак примітки"/>
    <w:next w:val="Знакпримітки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Текстпримітки">
    <w:name w:val="Текст примітки"/>
    <w:basedOn w:val="Звичайний"/>
    <w:next w:val="Текстпримітки"/>
    <w:autoRedefine w:val="0"/>
    <w:hidden w:val="0"/>
    <w:qFormat w:val="1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ru-RU"/>
    </w:rPr>
  </w:style>
  <w:style w:type="character" w:styleId="ТекстприміткиЗнак">
    <w:name w:val="Текст примітки Знак"/>
    <w:next w:val="ТекстприміткиЗнак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en-US" w:val="ru-RU"/>
    </w:rPr>
  </w:style>
  <w:style w:type="paragraph" w:styleId="Темапримітки">
    <w:name w:val="Тема примітки"/>
    <w:basedOn w:val="Текстпримітки"/>
    <w:next w:val="Текстпримітки"/>
    <w:autoRedefine w:val="0"/>
    <w:hidden w:val="0"/>
    <w:qFormat w:val="1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ru-RU"/>
    </w:rPr>
  </w:style>
  <w:style w:type="character" w:styleId="ТемаприміткиЗнак">
    <w:name w:val="Тема примітки Знак"/>
    <w:next w:val="ТемаприміткиЗнак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 w:eastAsia="en-US" w:val="ru-RU"/>
    </w:rPr>
  </w:style>
  <w:style w:type="paragraph" w:styleId="Абзацсписку">
    <w:name w:val="Абзац списку"/>
    <w:basedOn w:val="Звичайний"/>
    <w:next w:val="Абзацсписку"/>
    <w:autoRedefine w:val="0"/>
    <w:hidden w:val="0"/>
    <w:qFormat w:val="0"/>
    <w:pPr>
      <w:suppressAutoHyphens w:val="1"/>
      <w:spacing w:after="0" w:line="240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en-US"/>
    </w:rPr>
  </w:style>
  <w:style w:type="paragraph" w:styleId="Безінтервалів">
    <w:name w:val="Без інтервалів"/>
    <w:next w:val="Безінтервалів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yjfpNwNne5snqdbOgcEoL95I7Q==">CgMxLjA4AGoqChRzdWdnZXN0LjlydmQxcWtrN3k4dBISU3ZpdGxhbmEgS29ub25jaHVraioKFHN1Z2dlc3QuZjEzMWoyM3YxMmQyEhJTdml0bGFuYSBLb25vbmNodWtqKgoUc3VnZ2VzdC53bGlhdGZjdWI2NTgSElN2aXRsYW5hIEtvbm9uY2h1a2oqChRzdWdnZXN0LmwybGppOHhqMjVnMBISU3ZpdGxhbmEgS29ub25jaHVraioKFHN1Z2dlc3QuMnlzbXltdno5N2YwEhJTdml0bGFuYSBLb25vbmNodWtqKgoUc3VnZ2VzdC5kbmkxMXJzcTRrbWgSElN2aXRsYW5hIEtvbm9uY2h1a3IhMWxPSVZYUjJrVFluRi11dGNjb1VzVVI5MGE1VUFXUj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2024-03-06T11:09:00Z</dcterms:created>
  <dc:creator>Victor</dc:creator>
</cp:coreProperties>
</file>